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1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31"/>
          <w:szCs w:val="31"/>
        </w:rPr>
        <w:t>政策（</w:t>
      </w:r>
      <w:r>
        <w:rPr>
          <w:rFonts w:ascii="方正小标宋简体" w:hAnsi="方正小标宋简体" w:eastAsia="方正小标宋简体" w:cs="方正小标宋简体"/>
          <w:spacing w:val="10"/>
          <w:sz w:val="31"/>
          <w:szCs w:val="31"/>
        </w:rPr>
        <w:t>项目</w:t>
      </w:r>
      <w:r>
        <w:rPr>
          <w:rFonts w:hint="eastAsia" w:ascii="方正小标宋简体" w:hAnsi="方正小标宋简体" w:eastAsia="方正小标宋简体" w:cs="方正小标宋简体"/>
          <w:spacing w:val="10"/>
          <w:sz w:val="31"/>
          <w:szCs w:val="31"/>
        </w:rPr>
        <w:t>）</w:t>
      </w:r>
      <w:r>
        <w:rPr>
          <w:rFonts w:ascii="方正小标宋简体" w:hAnsi="方正小标宋简体" w:eastAsia="方正小标宋简体" w:cs="方正小标宋简体"/>
          <w:spacing w:val="10"/>
          <w:sz w:val="31"/>
          <w:szCs w:val="31"/>
        </w:rPr>
        <w:t>绩效目标表</w:t>
      </w:r>
    </w:p>
    <w:p>
      <w:pPr>
        <w:spacing w:before="81" w:line="228" w:lineRule="auto"/>
        <w:ind w:left="351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3"/>
          <w:sz w:val="20"/>
          <w:szCs w:val="20"/>
        </w:rPr>
        <w:t>（20</w:t>
      </w:r>
      <w:r>
        <w:rPr>
          <w:rFonts w:hint="eastAsia" w:ascii="宋体" w:hAnsi="宋体" w:eastAsia="宋体" w:cs="宋体"/>
          <w:sz w:val="20"/>
          <w:szCs w:val="20"/>
        </w:rPr>
        <w:t>2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6</w:t>
      </w:r>
      <w:r>
        <w:rPr>
          <w:rFonts w:ascii="宋体" w:hAnsi="宋体" w:eastAsia="宋体" w:cs="宋体"/>
          <w:spacing w:val="3"/>
          <w:sz w:val="20"/>
          <w:szCs w:val="20"/>
        </w:rPr>
        <w:t>年度）</w:t>
      </w:r>
    </w:p>
    <w:p>
      <w:pPr>
        <w:spacing w:line="20" w:lineRule="exact"/>
      </w:pPr>
    </w:p>
    <w:tbl>
      <w:tblPr>
        <w:tblStyle w:val="7"/>
        <w:tblW w:w="495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8"/>
        <w:gridCol w:w="1611"/>
        <w:gridCol w:w="1795"/>
        <w:gridCol w:w="1137"/>
        <w:gridCol w:w="2400"/>
        <w:gridCol w:w="14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tcBorders>
              <w:left w:val="nil"/>
            </w:tcBorders>
          </w:tcPr>
          <w:p>
            <w:pPr>
              <w:pStyle w:val="6"/>
              <w:spacing w:before="83" w:line="228" w:lineRule="auto"/>
              <w:ind w:left="53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3864" w:type="pct"/>
            <w:gridSpan w:val="4"/>
            <w:tcBorders>
              <w:right w:val="nil"/>
            </w:tcBorders>
          </w:tcPr>
          <w:p>
            <w:pPr>
              <w:pStyle w:val="6"/>
              <w:spacing w:before="82" w:line="228" w:lineRule="auto"/>
              <w:ind w:left="2584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救灾物资储备及工作经费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tcBorders>
              <w:left w:val="nil"/>
            </w:tcBorders>
          </w:tcPr>
          <w:p>
            <w:pPr>
              <w:pStyle w:val="6"/>
              <w:spacing w:before="78" w:line="228" w:lineRule="auto"/>
              <w:ind w:left="22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主管部门及代码</w:t>
            </w:r>
          </w:p>
        </w:tc>
        <w:tc>
          <w:tcPr>
            <w:tcW w:w="1674" w:type="pct"/>
            <w:gridSpan w:val="2"/>
          </w:tcPr>
          <w:p>
            <w:pPr>
              <w:rPr>
                <w:rFonts w:ascii="Arial"/>
              </w:rPr>
            </w:pPr>
            <w:r>
              <w:rPr>
                <w:rFonts w:ascii="Arial"/>
              </w:rPr>
              <w:t>陇南市红十字会</w:t>
            </w:r>
          </w:p>
        </w:tc>
        <w:tc>
          <w:tcPr>
            <w:tcW w:w="1370" w:type="pct"/>
          </w:tcPr>
          <w:p>
            <w:pPr>
              <w:pStyle w:val="6"/>
              <w:spacing w:before="79" w:line="228" w:lineRule="auto"/>
              <w:ind w:left="79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实施单位</w:t>
            </w:r>
          </w:p>
        </w:tc>
        <w:tc>
          <w:tcPr>
            <w:tcW w:w="820" w:type="pct"/>
            <w:tcBorders>
              <w:right w:val="nil"/>
            </w:tcBorders>
          </w:tcPr>
          <w:p>
            <w:pPr>
              <w:rPr>
                <w:rFonts w:ascii="Arial"/>
              </w:rPr>
            </w:pPr>
            <w:r>
              <w:rPr>
                <w:rFonts w:ascii="Arial"/>
                <w:sz w:val="18"/>
                <w:szCs w:val="18"/>
              </w:rPr>
              <w:t>陇南市红十字</w:t>
            </w:r>
            <w:r>
              <w:rPr>
                <w:rFonts w:ascii="Arial"/>
              </w:rPr>
              <w:t>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vMerge w:val="restart"/>
            <w:tcBorders>
              <w:left w:val="nil"/>
              <w:bottom w:val="nil"/>
            </w:tcBorders>
          </w:tcPr>
          <w:p>
            <w:pPr>
              <w:spacing w:line="423" w:lineRule="auto"/>
              <w:rPr>
                <w:rFonts w:ascii="Arial"/>
              </w:rPr>
            </w:pPr>
          </w:p>
          <w:p>
            <w:pPr>
              <w:pStyle w:val="6"/>
              <w:spacing w:before="65" w:line="274" w:lineRule="auto"/>
              <w:ind w:left="545" w:right="527" w:hanging="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项目资金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（万元）</w:t>
            </w:r>
          </w:p>
        </w:tc>
        <w:tc>
          <w:tcPr>
            <w:tcW w:w="1674" w:type="pct"/>
            <w:gridSpan w:val="2"/>
          </w:tcPr>
          <w:p>
            <w:pPr>
              <w:pStyle w:val="6"/>
              <w:spacing w:before="78" w:line="228" w:lineRule="auto"/>
              <w:ind w:firstLine="214" w:firstLineChars="10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年度资金总额：</w:t>
            </w:r>
          </w:p>
        </w:tc>
        <w:tc>
          <w:tcPr>
            <w:tcW w:w="2190" w:type="pct"/>
            <w:gridSpan w:val="2"/>
            <w:tcBorders>
              <w:right w:val="nil"/>
            </w:tcBorders>
          </w:tcPr>
          <w:p>
            <w:pPr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74" w:type="pct"/>
            <w:gridSpan w:val="2"/>
          </w:tcPr>
          <w:p>
            <w:pPr>
              <w:pStyle w:val="6"/>
              <w:spacing w:before="79" w:line="228" w:lineRule="auto"/>
              <w:ind w:firstLine="218" w:firstLineChars="10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其中：当年财政拨款</w:t>
            </w:r>
          </w:p>
        </w:tc>
        <w:tc>
          <w:tcPr>
            <w:tcW w:w="2190" w:type="pct"/>
            <w:gridSpan w:val="2"/>
            <w:tcBorders>
              <w:right w:val="nil"/>
            </w:tcBorders>
          </w:tcPr>
          <w:p>
            <w:pPr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74" w:type="pct"/>
            <w:gridSpan w:val="2"/>
          </w:tcPr>
          <w:p>
            <w:pPr>
              <w:pStyle w:val="6"/>
              <w:spacing w:before="79" w:line="228" w:lineRule="auto"/>
              <w:ind w:firstLine="216" w:firstLineChars="10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上年结转资金</w:t>
            </w:r>
          </w:p>
        </w:tc>
        <w:tc>
          <w:tcPr>
            <w:tcW w:w="2190" w:type="pct"/>
            <w:gridSpan w:val="2"/>
            <w:tcBorders>
              <w:right w:val="nil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1136" w:type="pct"/>
            <w:gridSpan w:val="2"/>
            <w:vMerge w:val="continue"/>
            <w:tcBorders>
              <w:top w:val="nil"/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74" w:type="pct"/>
            <w:gridSpan w:val="2"/>
          </w:tcPr>
          <w:p>
            <w:pPr>
              <w:pStyle w:val="6"/>
              <w:spacing w:before="80" w:line="228" w:lineRule="auto"/>
              <w:ind w:firstLine="214" w:firstLineChars="10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其他资金</w:t>
            </w:r>
          </w:p>
        </w:tc>
        <w:tc>
          <w:tcPr>
            <w:tcW w:w="2190" w:type="pct"/>
            <w:gridSpan w:val="2"/>
            <w:tcBorders>
              <w:right w:val="nil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216" w:type="pct"/>
            <w:tcBorders>
              <w:lef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年度</w:t>
            </w:r>
          </w:p>
          <w:p>
            <w:pPr>
              <w:jc w:val="center"/>
            </w:pPr>
            <w:r>
              <w:rPr>
                <w:rFonts w:hint="eastAsia"/>
              </w:rPr>
              <w:t>绩效</w:t>
            </w:r>
          </w:p>
          <w:p>
            <w:pPr>
              <w:jc w:val="center"/>
            </w:pPr>
            <w:r>
              <w:rPr>
                <w:rFonts w:hint="eastAsia"/>
              </w:rPr>
              <w:t>目标</w:t>
            </w:r>
          </w:p>
          <w:p>
            <w:pPr>
              <w:jc w:val="center"/>
            </w:pPr>
          </w:p>
        </w:tc>
        <w:tc>
          <w:tcPr>
            <w:tcW w:w="4784" w:type="pct"/>
            <w:gridSpan w:val="5"/>
            <w:tcBorders>
              <w:right w:val="nil"/>
            </w:tcBorders>
          </w:tcPr>
          <w:p/>
          <w:p/>
          <w:p>
            <w:r>
              <w:rPr>
                <w:rFonts w:hint="eastAsia"/>
              </w:rPr>
              <w:t xml:space="preserve">目标1.保护生命健康，发扬人道主义精神，促进和平进步事业，改善困难群体的生存和发展境况，健全红十字人道服务体系；                                                                                            </w:t>
            </w:r>
          </w:p>
          <w:p>
            <w:r>
              <w:rPr>
                <w:rFonts w:hint="eastAsia"/>
              </w:rPr>
              <w:t>目标2.增强备灾救灾能力，红十字应急救援预案和分级响应机制不断完善，救援队伍的专业化程度不断提高，备灾救灾工作更加有序高效；</w:t>
            </w:r>
          </w:p>
          <w:p>
            <w:r>
              <w:rPr>
                <w:rFonts w:hint="eastAsia"/>
              </w:rPr>
              <w:t>目标3.普及公众应急救护知识和技能，公众应急救护知识和技能普及率有效提升，红十字救护员队伍不断发展壮大，群众性应急救护培训主体作用得到充分发挥；</w:t>
            </w:r>
          </w:p>
          <w:p>
            <w:r>
              <w:rPr>
                <w:rFonts w:hint="eastAsia"/>
              </w:rPr>
              <w:t xml:space="preserve">目标4.深化人道救助服务，人道救助覆盖面不断扩大，无偿献血、造血干细胞和遗体、人体器官捐献动员机制不断完善。     </w:t>
            </w:r>
          </w:p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restart"/>
            <w:tcBorders>
              <w:left w:val="nil"/>
            </w:tcBorders>
            <w:vAlign w:val="center"/>
          </w:tcPr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spacing w:line="249" w:lineRule="auto"/>
              <w:jc w:val="center"/>
              <w:rPr>
                <w:rFonts w:ascii="Arial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绩效指标</w:t>
            </w:r>
          </w:p>
        </w:tc>
        <w:tc>
          <w:tcPr>
            <w:tcW w:w="920" w:type="pct"/>
            <w:tcBorders>
              <w:bottom w:val="single" w:color="auto" w:sz="4" w:space="0"/>
            </w:tcBorders>
          </w:tcPr>
          <w:p>
            <w:pPr>
              <w:pStyle w:val="6"/>
              <w:spacing w:before="80" w:line="228" w:lineRule="auto"/>
              <w:ind w:left="262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一级指标</w:t>
            </w:r>
          </w:p>
        </w:tc>
        <w:tc>
          <w:tcPr>
            <w:tcW w:w="1025" w:type="pct"/>
          </w:tcPr>
          <w:p>
            <w:pPr>
              <w:pStyle w:val="6"/>
              <w:spacing w:before="80" w:line="228" w:lineRule="auto"/>
              <w:ind w:left="342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二级指标</w:t>
            </w:r>
          </w:p>
        </w:tc>
        <w:tc>
          <w:tcPr>
            <w:tcW w:w="2019" w:type="pct"/>
            <w:gridSpan w:val="2"/>
          </w:tcPr>
          <w:p>
            <w:pPr>
              <w:pStyle w:val="6"/>
              <w:spacing w:before="80" w:line="228" w:lineRule="auto"/>
              <w:ind w:left="1427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三级指标</w:t>
            </w:r>
          </w:p>
        </w:tc>
        <w:tc>
          <w:tcPr>
            <w:tcW w:w="820" w:type="pct"/>
            <w:tcBorders>
              <w:right w:val="nil"/>
            </w:tcBorders>
          </w:tcPr>
          <w:p>
            <w:pPr>
              <w:pStyle w:val="6"/>
              <w:spacing w:before="80" w:line="228" w:lineRule="auto"/>
              <w:ind w:left="305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指标值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成本指标</w:t>
            </w:r>
          </w:p>
        </w:tc>
        <w:tc>
          <w:tcPr>
            <w:tcW w:w="1025" w:type="pct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造血干细胞血样采集费用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≤40元·人次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216" w:type="pct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普及性应急救护培训经费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≤10元·人次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rFonts w:ascii="Arial"/>
              </w:rPr>
            </w:pPr>
            <w:r>
              <w:rPr>
                <w:spacing w:val="7"/>
                <w:sz w:val="20"/>
                <w:szCs w:val="20"/>
              </w:rPr>
              <w:t>产出指标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数量指标</w:t>
            </w: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备灾救灾物资采购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≥5万元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新增普及性应急救护培训人数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≥4万人次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  <w:lang w:eastAsia="zh-CN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新增救护员培训人数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≥1万人次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  <w:lang w:eastAsia="zh-CN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基层红十字组织覆盖率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≥20%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  <w:lang w:eastAsia="zh-CN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募集捐赠款物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≥200万元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新增注册志愿者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   ≥200人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新增造血干细胞血样采集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   ≥200人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新增遗体器官捐献人数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ind w:firstLine="400" w:firstLineChars="200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≥400人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质量指标</w:t>
            </w: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备灾救灾仓库规范运行，安全事故率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     ≤1%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入库备灾救灾物资合格率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≥98%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仓储管理系统智慧化、信息化程度提升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提升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救护员受训合格率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≥95%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造血干细胞入库志愿者反悔率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时效指标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突发自然灾害响应及时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≤24小时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备灾救灾物资调运及时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≤48小时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储备物资入库及时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≤12小时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效益指标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经济效益指标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社会效益指标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受灾群众妥善安置，临时生活得到保障，无人道危机发生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≤1%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  群众应急救护意识和技能有效提升  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较上年提升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生态效益指标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ind w:left="470" w:hanging="108"/>
              <w:jc w:val="center"/>
              <w:rPr>
                <w:spacing w:val="7"/>
                <w:sz w:val="20"/>
                <w:szCs w:val="20"/>
              </w:rPr>
            </w:pPr>
          </w:p>
        </w:tc>
        <w:tc>
          <w:tcPr>
            <w:tcW w:w="102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spacing w:before="80" w:line="240" w:lineRule="exact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ind w:left="470" w:hanging="108"/>
              <w:jc w:val="center"/>
              <w:rPr>
                <w:spacing w:val="7"/>
                <w:sz w:val="20"/>
                <w:szCs w:val="20"/>
              </w:rPr>
            </w:pPr>
          </w:p>
        </w:tc>
        <w:tc>
          <w:tcPr>
            <w:tcW w:w="1025" w:type="pct"/>
            <w:tcBorders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可持续影响指标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jc w:val="center"/>
              <w:rPr>
                <w:rFonts w:eastAsia="仿宋_GB2312"/>
                <w:sz w:val="20"/>
                <w:szCs w:val="20"/>
                <w:lang w:eastAsia="zh-CN"/>
              </w:rPr>
            </w:pPr>
            <w:r>
              <w:rPr>
                <w:rFonts w:hint="eastAsia" w:eastAsia="仿宋_GB2312"/>
                <w:sz w:val="20"/>
                <w:szCs w:val="20"/>
                <w:lang w:eastAsia="zh-CN"/>
              </w:rPr>
              <w:t>备灾救灾长效管理机制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健全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16" w:type="pct"/>
            <w:vMerge w:val="continue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满意度</w:t>
            </w:r>
            <w:r>
              <w:rPr>
                <w:spacing w:val="3"/>
                <w:sz w:val="20"/>
                <w:szCs w:val="20"/>
              </w:rPr>
              <w:t>指标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服务对象</w:t>
            </w:r>
            <w:r>
              <w:rPr>
                <w:spacing w:val="8"/>
                <w:sz w:val="20"/>
                <w:szCs w:val="20"/>
              </w:rPr>
              <w:t>满意度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指标</w:t>
            </w: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受灾群众满意度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≥95%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16" w:type="pct"/>
            <w:tcBorders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920" w:type="pct"/>
            <w:vMerge w:val="continue"/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</w:p>
        </w:tc>
        <w:tc>
          <w:tcPr>
            <w:tcW w:w="1025" w:type="pct"/>
            <w:vMerge w:val="continue"/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</w:p>
        </w:tc>
        <w:tc>
          <w:tcPr>
            <w:tcW w:w="2019" w:type="pct"/>
            <w:gridSpan w:val="2"/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受助群众满意度</w:t>
            </w:r>
          </w:p>
        </w:tc>
        <w:tc>
          <w:tcPr>
            <w:tcW w:w="820" w:type="pct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≥95%</w:t>
            </w:r>
          </w:p>
        </w:tc>
      </w:tr>
    </w:tbl>
    <w:p>
      <w:pPr>
        <w:rPr>
          <w:rFonts w:ascii="Arial" w:hAnsi="Arial" w:eastAsia="Arial" w:cs="Arial"/>
          <w:szCs w:val="21"/>
        </w:rPr>
        <w:sectPr>
          <w:pgSz w:w="11906" w:h="16838"/>
          <w:pgMar w:top="2098" w:right="1474" w:bottom="1984" w:left="1587" w:header="0" w:footer="849" w:gutter="0"/>
          <w:cols w:space="720" w:num="1"/>
        </w:sectPr>
      </w:pPr>
    </w:p>
    <w:p>
      <w:pPr>
        <w:spacing w:before="120" w:line="241" w:lineRule="auto"/>
        <w:jc w:val="center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10"/>
          <w:sz w:val="31"/>
          <w:szCs w:val="31"/>
        </w:rPr>
        <w:t>部门（单位）整体绩效目标表</w:t>
      </w:r>
    </w:p>
    <w:p>
      <w:pPr>
        <w:spacing w:before="203" w:line="228" w:lineRule="auto"/>
        <w:ind w:left="340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3"/>
          <w:sz w:val="20"/>
          <w:szCs w:val="20"/>
        </w:rPr>
        <w:t>（20</w:t>
      </w:r>
      <w:r>
        <w:rPr>
          <w:rFonts w:hint="eastAsia" w:ascii="宋体" w:hAnsi="宋体" w:eastAsia="宋体" w:cs="宋体"/>
          <w:sz w:val="20"/>
          <w:szCs w:val="20"/>
        </w:rPr>
        <w:t>2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6</w:t>
      </w:r>
      <w:r>
        <w:rPr>
          <w:rFonts w:ascii="宋体" w:hAnsi="宋体" w:eastAsia="宋体" w:cs="宋体"/>
          <w:spacing w:val="3"/>
          <w:sz w:val="20"/>
          <w:szCs w:val="20"/>
        </w:rPr>
        <w:t>年度）</w:t>
      </w:r>
    </w:p>
    <w:p>
      <w:pPr>
        <w:spacing w:line="73" w:lineRule="exact"/>
      </w:pPr>
    </w:p>
    <w:tbl>
      <w:tblPr>
        <w:tblStyle w:val="7"/>
        <w:tblW w:w="8679" w:type="dxa"/>
        <w:tblInd w:w="-1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"/>
        <w:gridCol w:w="1480"/>
        <w:gridCol w:w="1022"/>
        <w:gridCol w:w="477"/>
        <w:gridCol w:w="146"/>
        <w:gridCol w:w="897"/>
        <w:gridCol w:w="1010"/>
        <w:gridCol w:w="273"/>
        <w:gridCol w:w="1046"/>
        <w:gridCol w:w="218"/>
        <w:gridCol w:w="17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891" w:type="dxa"/>
            <w:gridSpan w:val="3"/>
            <w:tcBorders>
              <w:left w:val="nil"/>
            </w:tcBorders>
          </w:tcPr>
          <w:p>
            <w:pPr>
              <w:pStyle w:val="6"/>
              <w:spacing w:before="111" w:line="228" w:lineRule="auto"/>
              <w:ind w:left="446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单位（部门）</w:t>
            </w:r>
            <w:r>
              <w:rPr>
                <w:spacing w:val="-56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名称</w:t>
            </w:r>
          </w:p>
        </w:tc>
        <w:tc>
          <w:tcPr>
            <w:tcW w:w="5788" w:type="dxa"/>
            <w:gridSpan w:val="8"/>
            <w:tcBorders>
              <w:right w:val="nil"/>
            </w:tcBorders>
          </w:tcPr>
          <w:p>
            <w:pPr>
              <w:ind w:firstLine="1890" w:firstLineChars="900"/>
              <w:rPr>
                <w:rFonts w:ascii="Arial"/>
              </w:rPr>
            </w:pPr>
            <w:r>
              <w:rPr>
                <w:rFonts w:ascii="Arial"/>
              </w:rPr>
              <w:t>陇南市红十字会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69" w:type="dxa"/>
            <w:gridSpan w:val="2"/>
            <w:tcBorders>
              <w:left w:val="nil"/>
            </w:tcBorders>
          </w:tcPr>
          <w:p>
            <w:pPr>
              <w:pStyle w:val="6"/>
              <w:spacing w:before="107" w:line="230" w:lineRule="auto"/>
              <w:ind w:left="50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联系人</w:t>
            </w:r>
          </w:p>
        </w:tc>
        <w:tc>
          <w:tcPr>
            <w:tcW w:w="1499" w:type="dxa"/>
            <w:gridSpan w:val="2"/>
          </w:tcPr>
          <w:p>
            <w:pPr>
              <w:rPr>
                <w:rFonts w:ascii="Arial"/>
              </w:rPr>
            </w:pPr>
            <w:r>
              <w:rPr>
                <w:rFonts w:ascii="Arial"/>
              </w:rPr>
              <w:t>李欣</w:t>
            </w:r>
          </w:p>
        </w:tc>
        <w:tc>
          <w:tcPr>
            <w:tcW w:w="2053" w:type="dxa"/>
            <w:gridSpan w:val="3"/>
          </w:tcPr>
          <w:p>
            <w:pPr>
              <w:pStyle w:val="6"/>
              <w:spacing w:before="107" w:line="230" w:lineRule="auto"/>
              <w:ind w:left="61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3258" w:type="dxa"/>
            <w:gridSpan w:val="4"/>
            <w:tcBorders>
              <w:right w:val="nil"/>
            </w:tcBorders>
          </w:tcPr>
          <w:p>
            <w:pPr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>8261711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869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预算情况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（万元）</w:t>
            </w: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按支出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类型分</w:t>
            </w:r>
          </w:p>
        </w:tc>
        <w:tc>
          <w:tcPr>
            <w:tcW w:w="2803" w:type="dxa"/>
            <w:gridSpan w:val="5"/>
            <w:vAlign w:val="center"/>
          </w:tcPr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预算金额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（万元）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按</w:t>
            </w:r>
            <w:r>
              <w:rPr>
                <w:spacing w:val="6"/>
                <w:sz w:val="20"/>
                <w:szCs w:val="20"/>
              </w:rPr>
              <w:t>来源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类型分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预算金额</w:t>
            </w:r>
          </w:p>
          <w:p>
            <w:pPr>
              <w:pStyle w:val="6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restart"/>
            <w:tcBorders>
              <w:bottom w:val="nil"/>
            </w:tcBorders>
            <w:vAlign w:val="center"/>
          </w:tcPr>
          <w:p>
            <w:pPr>
              <w:spacing w:line="321" w:lineRule="auto"/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pacing w:val="4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4"/>
                <w:sz w:val="20"/>
                <w:szCs w:val="20"/>
                <w:lang w:eastAsia="zh-CN"/>
              </w:rPr>
              <w:t>基本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支出</w:t>
            </w: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08" w:line="228" w:lineRule="auto"/>
              <w:ind w:left="114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人员经费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>116.02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spacing w:before="108" w:line="228" w:lineRule="auto"/>
              <w:ind w:left="114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上级财政补助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10" w:line="228" w:lineRule="auto"/>
              <w:ind w:left="119"/>
              <w:jc w:val="center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公用经费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>22.66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spacing w:before="110" w:line="227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本级财政安排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>168.68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09" w:line="229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合计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>138.68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spacing w:before="109" w:line="228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其他资金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restart"/>
            <w:tcBorders>
              <w:bottom w:val="nil"/>
            </w:tcBorders>
            <w:vAlign w:val="center"/>
          </w:tcPr>
          <w:p>
            <w:pPr>
              <w:spacing w:line="319" w:lineRule="auto"/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pacing w:val="4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4"/>
                <w:sz w:val="20"/>
                <w:szCs w:val="20"/>
                <w:lang w:eastAsia="zh-CN"/>
              </w:rPr>
              <w:t>项目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支出</w:t>
            </w: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08" w:line="227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本级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spacing w:before="108" w:line="228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收入预算合计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08" w:line="228" w:lineRule="auto"/>
              <w:ind w:left="111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对下转移支付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pStyle w:val="6"/>
              <w:spacing w:before="108" w:line="228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支出预算合计</w:t>
            </w:r>
          </w:p>
        </w:tc>
        <w:tc>
          <w:tcPr>
            <w:tcW w:w="1721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69" w:type="dxa"/>
            <w:gridSpan w:val="2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02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pStyle w:val="6"/>
              <w:spacing w:before="110" w:line="229" w:lineRule="auto"/>
              <w:ind w:left="113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合计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ascii="Arial"/>
              </w:rPr>
            </w:pPr>
            <w:r>
              <w:rPr>
                <w:rFonts w:hint="eastAsia" w:ascii="Arial"/>
                <w:lang w:val="en-US" w:eastAsia="zh-CN"/>
              </w:rPr>
              <w:t>3</w:t>
            </w:r>
            <w:r>
              <w:rPr>
                <w:rFonts w:hint="eastAsia" w:ascii="Arial"/>
              </w:rPr>
              <w:t>0</w:t>
            </w:r>
          </w:p>
        </w:tc>
        <w:tc>
          <w:tcPr>
            <w:tcW w:w="2985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389" w:type="dxa"/>
            <w:tcBorders>
              <w:lef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年度</w:t>
            </w:r>
          </w:p>
          <w:p>
            <w:pPr>
              <w:jc w:val="center"/>
            </w:pPr>
            <w:r>
              <w:rPr>
                <w:rFonts w:hint="eastAsia"/>
              </w:rPr>
              <w:t>绩效</w:t>
            </w:r>
          </w:p>
          <w:p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290" w:type="dxa"/>
            <w:gridSpan w:val="10"/>
            <w:tcBorders>
              <w:right w:val="nil"/>
            </w:tcBorders>
          </w:tcPr>
          <w:p>
            <w:pPr>
              <w:pStyle w:val="6"/>
              <w:rPr>
                <w:spacing w:val="8"/>
                <w:sz w:val="20"/>
                <w:szCs w:val="20"/>
                <w:lang w:eastAsia="zh-CN"/>
              </w:rPr>
            </w:pPr>
          </w:p>
          <w:p>
            <w:pPr>
              <w:pStyle w:val="6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目标1：加强备灾救灾，保障备灾救灾中心正常运转，人员及储备物资安全；</w:t>
            </w:r>
          </w:p>
          <w:p>
            <w:pPr>
              <w:pStyle w:val="6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目标2：加强宣传传播，通过各类纪念日活动扩大红十字社会影响力，大力弘扬“人道、博爱、奉献”红十字精神；</w:t>
            </w:r>
          </w:p>
          <w:p>
            <w:pPr>
              <w:pStyle w:val="6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目标3：促进志愿者队伍发展；大力开展普及性应急救护培训，完成普及和救护员培训任务；</w:t>
            </w:r>
          </w:p>
          <w:p>
            <w:pPr>
              <w:pStyle w:val="6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目标4积极推动无偿献血、造血干细胞、人体器官（组织）捐献宣传，完成造血干细胞血样采集任务；积极拓宽筹资渠道，争取援助项目，做好项目实施。</w:t>
            </w:r>
          </w:p>
          <w:p>
            <w:pPr>
              <w:pStyle w:val="6"/>
              <w:rPr>
                <w:spacing w:val="8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9" w:type="dxa"/>
            <w:vMerge w:val="restart"/>
            <w:tcBorders>
              <w:left w:val="nil"/>
              <w:bottom w:val="nil"/>
            </w:tcBorders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jc w:val="center"/>
              <w:rPr>
                <w:rFonts w:ascii="Arial"/>
              </w:rPr>
            </w:pPr>
          </w:p>
          <w:p>
            <w:pPr>
              <w:spacing w:line="266" w:lineRule="auto"/>
              <w:jc w:val="center"/>
              <w:rPr>
                <w:rFonts w:ascii="Arial"/>
              </w:rPr>
            </w:pPr>
            <w:r>
              <w:rPr>
                <w:rFonts w:hint="eastAsia"/>
              </w:rPr>
              <w:t>绩效指标</w:t>
            </w:r>
          </w:p>
          <w:p>
            <w:pPr>
              <w:spacing w:line="267" w:lineRule="auto"/>
              <w:jc w:val="center"/>
              <w:rPr>
                <w:rFonts w:ascii="Arial"/>
              </w:rPr>
            </w:pPr>
          </w:p>
          <w:p>
            <w:pPr>
              <w:spacing w:line="820" w:lineRule="exact"/>
              <w:ind w:firstLine="119"/>
            </w:pPr>
          </w:p>
        </w:tc>
        <w:tc>
          <w:tcPr>
            <w:tcW w:w="1480" w:type="dxa"/>
          </w:tcPr>
          <w:p>
            <w:pPr>
              <w:pStyle w:val="6"/>
              <w:spacing w:before="109" w:line="228" w:lineRule="auto"/>
              <w:ind w:left="182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一级指标</w:t>
            </w:r>
          </w:p>
        </w:tc>
        <w:tc>
          <w:tcPr>
            <w:tcW w:w="1645" w:type="dxa"/>
            <w:gridSpan w:val="3"/>
          </w:tcPr>
          <w:p>
            <w:pPr>
              <w:pStyle w:val="6"/>
              <w:spacing w:before="109" w:line="228" w:lineRule="auto"/>
              <w:ind w:left="458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二级指标</w:t>
            </w:r>
          </w:p>
        </w:tc>
        <w:tc>
          <w:tcPr>
            <w:tcW w:w="3226" w:type="dxa"/>
            <w:gridSpan w:val="4"/>
          </w:tcPr>
          <w:p>
            <w:pPr>
              <w:pStyle w:val="6"/>
              <w:spacing w:before="109" w:line="228" w:lineRule="auto"/>
              <w:ind w:left="1200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三级指标</w:t>
            </w:r>
          </w:p>
        </w:tc>
        <w:tc>
          <w:tcPr>
            <w:tcW w:w="1939" w:type="dxa"/>
            <w:gridSpan w:val="2"/>
            <w:tcBorders>
              <w:right w:val="nil"/>
            </w:tcBorders>
          </w:tcPr>
          <w:p>
            <w:pPr>
              <w:pStyle w:val="6"/>
              <w:spacing w:before="108" w:line="228" w:lineRule="auto"/>
              <w:ind w:left="444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指标值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基本运行</w:t>
            </w: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指标</w:t>
            </w:r>
          </w:p>
        </w:tc>
        <w:tc>
          <w:tcPr>
            <w:tcW w:w="1645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预算收支管理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1" w:firstLineChars="80"/>
              <w:jc w:val="left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预算执行率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1"/>
                <w:position w:val="1"/>
                <w:sz w:val="20"/>
                <w:szCs w:val="20"/>
                <w:lang w:eastAsia="zh-CN"/>
              </w:rPr>
              <w:t xml:space="preserve">        ≥100%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1" w:firstLineChars="80"/>
              <w:jc w:val="left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预算调整率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1"/>
                <w:position w:val="1"/>
                <w:sz w:val="20"/>
                <w:szCs w:val="20"/>
                <w:lang w:eastAsia="zh-CN"/>
              </w:rPr>
              <w:t>≥100%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69" w:firstLineChars="80"/>
              <w:jc w:val="lef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“三公经费</w:t>
            </w:r>
            <w:r>
              <w:rPr>
                <w:spacing w:val="-64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”控制率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≤</w:t>
            </w:r>
            <w:r>
              <w:rPr>
                <w:rFonts w:hint="eastAsia"/>
                <w:spacing w:val="-1"/>
                <w:position w:val="1"/>
                <w:sz w:val="20"/>
                <w:szCs w:val="20"/>
                <w:lang w:eastAsia="zh-CN"/>
              </w:rPr>
              <w:t>100</w:t>
            </w:r>
            <w:r>
              <w:rPr>
                <w:spacing w:val="-1"/>
                <w:position w:val="1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结转结余变动率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≤</w:t>
            </w:r>
            <w:r>
              <w:rPr>
                <w:rFonts w:hint="eastAsia"/>
                <w:spacing w:val="-1"/>
                <w:position w:val="1"/>
                <w:sz w:val="20"/>
                <w:szCs w:val="20"/>
                <w:lang w:eastAsia="zh-CN"/>
              </w:rPr>
              <w:t>10</w:t>
            </w:r>
            <w:r>
              <w:rPr>
                <w:spacing w:val="-1"/>
                <w:position w:val="1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财会管理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1" w:firstLineChars="80"/>
              <w:jc w:val="left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资金使用合规性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合规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4" w:firstLineChars="8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  <w:lang w:eastAsia="zh-CN"/>
              </w:rPr>
              <w:t>会计和内控制度执行有效性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有效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采购管理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政府采购规范性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规范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政府采购节约率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≥</w:t>
            </w:r>
            <w:r>
              <w:rPr>
                <w:rFonts w:hint="eastAsia"/>
                <w:spacing w:val="-2"/>
                <w:position w:val="1"/>
                <w:sz w:val="20"/>
                <w:szCs w:val="20"/>
                <w:lang w:eastAsia="zh-CN"/>
              </w:rPr>
              <w:t>100</w:t>
            </w:r>
            <w:r>
              <w:rPr>
                <w:spacing w:val="-2"/>
                <w:position w:val="1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资产管理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1" w:firstLineChars="80"/>
              <w:jc w:val="left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资产管理规范性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规范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69" w:firstLineChars="80"/>
              <w:jc w:val="lef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固定资产利用率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≥</w:t>
            </w:r>
            <w:r>
              <w:rPr>
                <w:rFonts w:hint="eastAsia"/>
                <w:spacing w:val="-2"/>
                <w:position w:val="1"/>
                <w:sz w:val="20"/>
                <w:szCs w:val="20"/>
                <w:lang w:eastAsia="zh-CN"/>
              </w:rPr>
              <w:t>100</w:t>
            </w:r>
            <w:r>
              <w:rPr>
                <w:spacing w:val="-2"/>
                <w:position w:val="1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人员管理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在职人员控制率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2"/>
                <w:position w:val="1"/>
                <w:sz w:val="20"/>
                <w:szCs w:val="20"/>
                <w:lang w:eastAsia="zh-CN"/>
              </w:rPr>
              <w:t>100</w:t>
            </w:r>
            <w:r>
              <w:rPr>
                <w:spacing w:val="-2"/>
                <w:position w:val="1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绩效管理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预算绩效管理工作成效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较上年提升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Arial"/>
              </w:rPr>
            </w:pPr>
            <w:r>
              <w:rPr>
                <w:rFonts w:hint="eastAsia" w:ascii="Arial"/>
              </w:rPr>
              <w:t xml:space="preserve"> </w:t>
            </w: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hint="eastAsia" w:ascii="Arial"/>
              </w:rPr>
            </w:pPr>
          </w:p>
          <w:p>
            <w:pPr>
              <w:jc w:val="center"/>
              <w:rPr>
                <w:rFonts w:ascii="Arial"/>
              </w:rPr>
            </w:pPr>
            <w:r>
              <w:rPr>
                <w:rFonts w:ascii="Arial"/>
              </w:rPr>
              <w:t>履职效果</w:t>
            </w:r>
          </w:p>
        </w:tc>
        <w:tc>
          <w:tcPr>
            <w:tcW w:w="1645" w:type="dxa"/>
            <w:gridSpan w:val="3"/>
            <w:vMerge w:val="restart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部门履职目标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会议举办场次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≥1次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备灾救灾物资储备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≥5万元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应急救护知识普及培训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≥4万人次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开展“三献”宣传活动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≥5次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救助困难群众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≥1000人次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restart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部门效果目标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及时有效应对突发自然灾害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提高公众自救互救意识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提高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红十字事业知晓率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≥95%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服务对象满意度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救助对象满意度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≥95%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restart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社会影响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重大舆情事件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违法违纪情况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hint="eastAsia" w:ascii="Arial"/>
              </w:rPr>
            </w:pPr>
          </w:p>
          <w:p>
            <w:pPr>
              <w:rPr>
                <w:rFonts w:hint="eastAsia" w:ascii="Arial"/>
              </w:rPr>
            </w:pPr>
          </w:p>
          <w:p>
            <w:pPr>
              <w:rPr>
                <w:rFonts w:hint="eastAsia" w:ascii="Arial"/>
              </w:rPr>
            </w:pPr>
          </w:p>
          <w:p>
            <w:pPr>
              <w:rPr>
                <w:rFonts w:hint="eastAsia" w:ascii="Arial"/>
              </w:rPr>
            </w:pPr>
          </w:p>
          <w:p>
            <w:pPr>
              <w:rPr>
                <w:rFonts w:hint="eastAsia" w:ascii="Arial"/>
              </w:rPr>
            </w:pPr>
          </w:p>
          <w:p>
            <w:pPr>
              <w:jc w:val="center"/>
              <w:rPr>
                <w:rFonts w:ascii="Arial"/>
              </w:rPr>
            </w:pPr>
            <w:r>
              <w:rPr>
                <w:rFonts w:ascii="Arial"/>
              </w:rPr>
              <w:t>能力建设</w:t>
            </w: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长效管理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中期规划建设完备程度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完备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组织建设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新增基层红十字组织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≥20%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信息化建设情况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规范运用信息化管理系统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规范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人力资源建设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人员培训机制完备性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完备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89" w:type="dxa"/>
            <w:tcBorders>
              <w:top w:val="nil"/>
              <w:left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0" w:type="dxa"/>
            <w:vMerge w:val="continue"/>
          </w:tcPr>
          <w:p>
            <w:pPr>
              <w:rPr>
                <w:rFonts w:ascii="Arial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pStyle w:val="6"/>
              <w:jc w:val="center"/>
              <w:rPr>
                <w:spacing w:val="6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档案管理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pStyle w:val="6"/>
              <w:ind w:firstLine="172" w:firstLineChars="80"/>
              <w:jc w:val="left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档案管理完备性</w:t>
            </w:r>
          </w:p>
        </w:tc>
        <w:tc>
          <w:tcPr>
            <w:tcW w:w="1939" w:type="dxa"/>
            <w:gridSpan w:val="2"/>
            <w:tcBorders>
              <w:right w:val="nil"/>
            </w:tcBorders>
            <w:vAlign w:val="center"/>
          </w:tcPr>
          <w:p>
            <w:pPr>
              <w:pStyle w:val="6"/>
              <w:jc w:val="center"/>
              <w:rPr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完备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-19.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NukOnWAAAACAEAAA8AAAAAAAAAAQAgAAAAIgAAAGRycy9kb3ducmV2LnhtbFBL&#10;AQIUABQAAAAIAIdO4kBrhfn7MQIAAGEEAAAOAAAAAAAAAAEAIAAAACUBAABkcnMvZTJvRG9jLnht&#10;bFBLBQYAAAAABgAGAFkBAADI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0C40"/>
    <w:rsid w:val="000D300D"/>
    <w:rsid w:val="000D700F"/>
    <w:rsid w:val="002D3FAE"/>
    <w:rsid w:val="003E2FBE"/>
    <w:rsid w:val="00447FFB"/>
    <w:rsid w:val="00484FD7"/>
    <w:rsid w:val="005C1A0D"/>
    <w:rsid w:val="005D3DBC"/>
    <w:rsid w:val="0066003F"/>
    <w:rsid w:val="006F0633"/>
    <w:rsid w:val="00723FC5"/>
    <w:rsid w:val="007906AE"/>
    <w:rsid w:val="007E1C5D"/>
    <w:rsid w:val="00A074BD"/>
    <w:rsid w:val="00AA44A3"/>
    <w:rsid w:val="00AC2A8A"/>
    <w:rsid w:val="00AD313A"/>
    <w:rsid w:val="00AF1B3D"/>
    <w:rsid w:val="00B765E8"/>
    <w:rsid w:val="00BA1393"/>
    <w:rsid w:val="00C30C40"/>
    <w:rsid w:val="00C7008D"/>
    <w:rsid w:val="00C9629C"/>
    <w:rsid w:val="00CD4095"/>
    <w:rsid w:val="00DA572C"/>
    <w:rsid w:val="00DC277C"/>
    <w:rsid w:val="00E11C46"/>
    <w:rsid w:val="00E65D7D"/>
    <w:rsid w:val="00EA49A5"/>
    <w:rsid w:val="00EC7D1E"/>
    <w:rsid w:val="00F051B3"/>
    <w:rsid w:val="00F56AFC"/>
    <w:rsid w:val="00F9582B"/>
    <w:rsid w:val="00FC55A1"/>
    <w:rsid w:val="00FF3ABC"/>
    <w:rsid w:val="0A6F33F7"/>
    <w:rsid w:val="1CA77B0B"/>
    <w:rsid w:val="1DF10F7A"/>
    <w:rsid w:val="2BAB4345"/>
    <w:rsid w:val="43BC25A9"/>
    <w:rsid w:val="5F7789DF"/>
    <w:rsid w:val="6EF64A83"/>
    <w:rsid w:val="715A530D"/>
    <w:rsid w:val="76296459"/>
    <w:rsid w:val="774009DA"/>
    <w:rsid w:val="CD7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eastAsia="en-US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1418</Words>
  <Characters>1511</Characters>
  <Lines>20</Lines>
  <Paragraphs>5</Paragraphs>
  <TotalTime>107</TotalTime>
  <ScaleCrop>false</ScaleCrop>
  <LinksUpToDate>false</LinksUpToDate>
  <CharactersWithSpaces>1635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2024-12-02T10:13:00Z</dcterms:created>
  <dc:creator>1008</dc:creator>
  <cp:lastModifiedBy>pc</cp:lastModifiedBy>
  <dcterms:modified xsi:type="dcterms:W3CDTF">2026-03-02T10:38:21Z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D0AA77F2CA8A4472B8058C9F066C56A2_12</vt:lpwstr>
  </property>
  <property fmtid="{D5CDD505-2E9C-101B-9397-08002B2CF9AE}" pid="4" name="KSOTemplateDocerSaveRecord">
    <vt:lpwstr>eyJoZGlkIjoiM2QyNWVmZWFjOTdkOWE2Y2UxMWRkMzU5MDc1ZDcwMGYiLCJ1c2VySWQiOiIxMTc2ODYwODkwIn0=</vt:lpwstr>
  </property>
</Properties>
</file>